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outlineLvl w:val="9"/>
        <w:rPr>
          <w:rFonts w:hint="eastAsia" w:asciiTheme="minorEastAsia" w:hAnsiTheme="minorEastAsia" w:eastAsiaTheme="minorEastAsia" w:cstheme="minorEastAsia"/>
          <w:b/>
          <w:bCs/>
          <w:color w:val="auto"/>
          <w:sz w:val="36"/>
          <w:szCs w:val="36"/>
          <w:highlight w:val="none"/>
          <w:lang w:val="en-US" w:eastAsia="zh-CN"/>
        </w:rPr>
      </w:pPr>
      <w:r>
        <w:rPr>
          <w:rFonts w:hint="eastAsia" w:asciiTheme="minorEastAsia" w:hAnsiTheme="minorEastAsia" w:cstheme="minorEastAsia"/>
          <w:b/>
          <w:bCs/>
          <w:color w:val="auto"/>
          <w:sz w:val="36"/>
          <w:szCs w:val="36"/>
          <w:highlight w:val="none"/>
          <w:lang w:val="en-US" w:eastAsia="zh-CN"/>
        </w:rPr>
        <w:t>武汉商学院</w:t>
      </w:r>
      <w:r>
        <w:rPr>
          <w:rFonts w:hint="eastAsia" w:asciiTheme="minorEastAsia" w:hAnsiTheme="minorEastAsia" w:eastAsiaTheme="minorEastAsia" w:cstheme="minorEastAsia"/>
          <w:b/>
          <w:bCs/>
          <w:color w:val="auto"/>
          <w:sz w:val="36"/>
          <w:szCs w:val="36"/>
          <w:highlight w:val="none"/>
          <w:lang w:val="en-US" w:eastAsia="zh-CN"/>
        </w:rPr>
        <w:t>阅卷评分</w:t>
      </w:r>
      <w:r>
        <w:rPr>
          <w:rFonts w:hint="eastAsia" w:asciiTheme="minorEastAsia" w:hAnsiTheme="minorEastAsia" w:cstheme="minorEastAsia"/>
          <w:b/>
          <w:bCs/>
          <w:color w:val="auto"/>
          <w:sz w:val="36"/>
          <w:szCs w:val="36"/>
          <w:highlight w:val="none"/>
          <w:lang w:val="en-US" w:eastAsia="zh-CN"/>
        </w:rPr>
        <w:t>规范</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color w:val="auto"/>
          <w:sz w:val="28"/>
          <w:szCs w:val="28"/>
          <w:highlight w:val="none"/>
          <w:lang w:val="en-US" w:eastAsia="zh-CN"/>
        </w:rPr>
        <w:t>一、阅卷规则</w:t>
      </w:r>
    </w:p>
    <w:p>
      <w:pPr>
        <w:keepNext w:val="0"/>
        <w:keepLines w:val="0"/>
        <w:pageBreakBefore w:val="0"/>
        <w:widowControl w:val="0"/>
        <w:kinsoku/>
        <w:wordWrap/>
        <w:overflowPunct/>
        <w:topLinePunct w:val="0"/>
        <w:autoSpaceDE/>
        <w:autoSpaceDN/>
        <w:bidi w:val="0"/>
        <w:adjustRightInd w:val="0"/>
        <w:snapToGrid/>
        <w:spacing w:line="480" w:lineRule="auto"/>
        <w:ind w:firstLine="560" w:firstLineChars="200"/>
        <w:jc w:val="left"/>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（一）</w:t>
      </w:r>
      <w:r>
        <w:rPr>
          <w:rFonts w:hint="eastAsia" w:asciiTheme="minorEastAsia" w:hAnsiTheme="minorEastAsia" w:eastAsiaTheme="minorEastAsia" w:cstheme="minorEastAsia"/>
          <w:color w:val="auto"/>
          <w:sz w:val="28"/>
          <w:szCs w:val="28"/>
          <w:highlight w:val="none"/>
        </w:rPr>
        <w:t>阅卷与评分工作由考试课程</w:t>
      </w:r>
      <w:r>
        <w:rPr>
          <w:rFonts w:hint="eastAsia" w:asciiTheme="minorEastAsia" w:hAnsiTheme="minorEastAsia" w:cstheme="minorEastAsia"/>
          <w:color w:val="auto"/>
          <w:sz w:val="28"/>
          <w:szCs w:val="28"/>
          <w:highlight w:val="none"/>
          <w:lang w:eastAsia="zh-CN"/>
        </w:rPr>
        <w:t>开课</w:t>
      </w:r>
      <w:r>
        <w:rPr>
          <w:rFonts w:hint="eastAsia" w:asciiTheme="minorEastAsia" w:hAnsiTheme="minorEastAsia" w:eastAsiaTheme="minorEastAsia" w:cstheme="minorEastAsia"/>
          <w:color w:val="auto"/>
          <w:sz w:val="28"/>
          <w:szCs w:val="28"/>
          <w:highlight w:val="none"/>
          <w:lang w:eastAsia="zh-CN"/>
        </w:rPr>
        <w:t>学院</w:t>
      </w:r>
      <w:r>
        <w:rPr>
          <w:rFonts w:hint="eastAsia" w:asciiTheme="minorEastAsia" w:hAnsiTheme="minorEastAsia" w:eastAsiaTheme="minorEastAsia" w:cstheme="minorEastAsia"/>
          <w:color w:val="auto"/>
          <w:sz w:val="28"/>
          <w:szCs w:val="28"/>
          <w:highlight w:val="none"/>
        </w:rPr>
        <w:t>具体组织。</w:t>
      </w:r>
    </w:p>
    <w:p>
      <w:pPr>
        <w:keepNext w:val="0"/>
        <w:keepLines w:val="0"/>
        <w:pageBreakBefore w:val="0"/>
        <w:widowControl w:val="0"/>
        <w:kinsoku/>
        <w:wordWrap/>
        <w:overflowPunct/>
        <w:topLinePunct w:val="0"/>
        <w:autoSpaceDE/>
        <w:autoSpaceDN/>
        <w:bidi w:val="0"/>
        <w:adjustRightInd w:val="0"/>
        <w:snapToGrid/>
        <w:spacing w:line="480" w:lineRule="auto"/>
        <w:ind w:firstLine="560" w:firstLineChars="200"/>
        <w:jc w:val="left"/>
        <w:textAlignment w:val="auto"/>
        <w:outlineLvl w:val="9"/>
        <w:rPr>
          <w:rFonts w:hint="eastAsia" w:asciiTheme="minorEastAsia" w:hAnsiTheme="minorEastAsia" w:eastAsiaTheme="minorEastAsia" w:cstheme="minorEastAsia"/>
          <w:color w:val="auto"/>
          <w:kern w:val="0"/>
          <w:sz w:val="28"/>
          <w:szCs w:val="28"/>
          <w:highlight w:val="none"/>
          <w:lang w:val="en"/>
        </w:rPr>
      </w:pPr>
      <w:r>
        <w:rPr>
          <w:rFonts w:hint="eastAsia" w:asciiTheme="minorEastAsia" w:hAnsiTheme="minorEastAsia" w:eastAsiaTheme="minorEastAsia" w:cstheme="minorEastAsia"/>
          <w:color w:val="auto"/>
          <w:sz w:val="28"/>
          <w:szCs w:val="28"/>
          <w:highlight w:val="none"/>
          <w:lang w:eastAsia="zh-CN"/>
        </w:rPr>
        <w:t>（二）</w:t>
      </w:r>
      <w:r>
        <w:rPr>
          <w:rFonts w:hint="eastAsia" w:asciiTheme="minorEastAsia" w:hAnsiTheme="minorEastAsia" w:eastAsiaTheme="minorEastAsia" w:cstheme="minorEastAsia"/>
          <w:color w:val="auto"/>
          <w:kern w:val="0"/>
          <w:sz w:val="28"/>
          <w:szCs w:val="28"/>
          <w:highlight w:val="none"/>
          <w:lang w:val="en"/>
        </w:rPr>
        <w:t>阅卷教师在领取试卷时要认真清点试卷份数并在试卷领取记录单上签字</w:t>
      </w:r>
      <w:r>
        <w:rPr>
          <w:rFonts w:hint="eastAsia" w:asciiTheme="minorEastAsia" w:hAnsiTheme="minorEastAsia" w:cstheme="minorEastAsia"/>
          <w:color w:val="auto"/>
          <w:kern w:val="0"/>
          <w:sz w:val="28"/>
          <w:szCs w:val="28"/>
          <w:highlight w:val="none"/>
          <w:lang w:val="en" w:eastAsia="zh-CN"/>
        </w:rPr>
        <w:t>，</w:t>
      </w:r>
      <w:r>
        <w:rPr>
          <w:rFonts w:hint="eastAsia" w:asciiTheme="minorEastAsia" w:hAnsiTheme="minorEastAsia" w:eastAsiaTheme="minorEastAsia" w:cstheme="minorEastAsia"/>
          <w:color w:val="auto"/>
          <w:kern w:val="0"/>
          <w:sz w:val="28"/>
          <w:szCs w:val="28"/>
          <w:highlight w:val="none"/>
          <w:lang w:val="en"/>
        </w:rPr>
        <w:t>阅卷一律使用红色笔</w:t>
      </w:r>
      <w:r>
        <w:rPr>
          <w:rFonts w:hint="eastAsia" w:asciiTheme="minorEastAsia" w:hAnsiTheme="minorEastAsia" w:cstheme="minorEastAsia"/>
          <w:color w:val="auto"/>
          <w:kern w:val="0"/>
          <w:sz w:val="28"/>
          <w:szCs w:val="28"/>
          <w:highlight w:val="none"/>
          <w:lang w:val="en" w:eastAsia="zh-CN"/>
        </w:rPr>
        <w:t>。</w:t>
      </w:r>
      <w:r>
        <w:rPr>
          <w:rFonts w:hint="eastAsia" w:cs="Arial"/>
          <w:color w:val="auto"/>
          <w:sz w:val="28"/>
          <w:szCs w:val="28"/>
        </w:rPr>
        <w:t>两位以上教师担任的</w:t>
      </w:r>
      <w:r>
        <w:rPr>
          <w:color w:val="auto"/>
          <w:sz w:val="28"/>
          <w:szCs w:val="28"/>
        </w:rPr>
        <w:t>同</w:t>
      </w:r>
      <w:r>
        <w:rPr>
          <w:rFonts w:hint="eastAsia"/>
          <w:color w:val="auto"/>
          <w:sz w:val="28"/>
          <w:szCs w:val="28"/>
          <w:lang w:eastAsia="zh-CN"/>
        </w:rPr>
        <w:t>一门</w:t>
      </w:r>
      <w:r>
        <w:rPr>
          <w:color w:val="auto"/>
          <w:sz w:val="28"/>
          <w:szCs w:val="28"/>
        </w:rPr>
        <w:t>课</w:t>
      </w:r>
      <w:r>
        <w:rPr>
          <w:rFonts w:hint="eastAsia"/>
          <w:color w:val="auto"/>
          <w:sz w:val="28"/>
          <w:szCs w:val="28"/>
          <w:lang w:eastAsia="zh-CN"/>
        </w:rPr>
        <w:t>程</w:t>
      </w:r>
      <w:r>
        <w:rPr>
          <w:rFonts w:hint="eastAsia"/>
          <w:color w:val="auto"/>
          <w:sz w:val="28"/>
          <w:szCs w:val="28"/>
        </w:rPr>
        <w:t>应实行统一命题，</w:t>
      </w:r>
      <w:r>
        <w:rPr>
          <w:rFonts w:hint="eastAsia"/>
          <w:color w:val="auto"/>
          <w:sz w:val="28"/>
          <w:szCs w:val="28"/>
          <w:lang w:eastAsia="zh-CN"/>
        </w:rPr>
        <w:t>组织两位以上教师</w:t>
      </w:r>
      <w:r>
        <w:rPr>
          <w:rFonts w:hint="eastAsia"/>
          <w:color w:val="auto"/>
          <w:sz w:val="28"/>
          <w:szCs w:val="28"/>
        </w:rPr>
        <w:t>集中流水阅卷。相关教研室主任应严格按照阅卷要求和程序认真组织。独任制的课程，经</w:t>
      </w:r>
      <w:r>
        <w:rPr>
          <w:rFonts w:hint="eastAsia"/>
          <w:color w:val="auto"/>
          <w:sz w:val="28"/>
          <w:szCs w:val="28"/>
          <w:lang w:eastAsia="zh-CN"/>
        </w:rPr>
        <w:t>开课学院</w:t>
      </w:r>
      <w:r>
        <w:rPr>
          <w:rFonts w:hint="eastAsia"/>
          <w:color w:val="auto"/>
          <w:sz w:val="28"/>
          <w:szCs w:val="28"/>
        </w:rPr>
        <w:t>（教研室）同意可由任课教师自行阅卷。</w:t>
      </w:r>
      <w:r>
        <w:rPr>
          <w:rFonts w:hint="eastAsia" w:asciiTheme="minorEastAsia" w:hAnsiTheme="minorEastAsia" w:eastAsiaTheme="minorEastAsia" w:cstheme="minorEastAsia"/>
          <w:color w:val="auto"/>
          <w:sz w:val="28"/>
          <w:szCs w:val="28"/>
          <w:highlight w:val="none"/>
        </w:rPr>
        <w:t>评阅前，可组织评卷教师研究分析参考答案和评分标准，对答卷进行试评，确定评分细则。</w:t>
      </w: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480" w:lineRule="auto"/>
        <w:ind w:firstLine="560" w:firstLineChars="200"/>
        <w:jc w:val="left"/>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（三）</w:t>
      </w:r>
      <w:r>
        <w:rPr>
          <w:rFonts w:hint="eastAsia" w:asciiTheme="minorEastAsia" w:hAnsiTheme="minorEastAsia" w:eastAsiaTheme="minorEastAsia" w:cstheme="minorEastAsia"/>
          <w:color w:val="auto"/>
          <w:kern w:val="0"/>
          <w:sz w:val="28"/>
          <w:szCs w:val="28"/>
          <w:highlight w:val="none"/>
          <w:lang w:val="en-US" w:eastAsia="zh-CN"/>
        </w:rPr>
        <w:t>阅卷</w:t>
      </w:r>
      <w:r>
        <w:rPr>
          <w:rFonts w:hint="eastAsia" w:asciiTheme="minorEastAsia" w:hAnsiTheme="minorEastAsia" w:eastAsiaTheme="minorEastAsia" w:cstheme="minorEastAsia"/>
          <w:color w:val="auto"/>
          <w:kern w:val="0"/>
          <w:sz w:val="28"/>
          <w:szCs w:val="28"/>
          <w:highlight w:val="none"/>
          <w:lang w:val="en"/>
        </w:rPr>
        <w:t>严格按照参考答案和评分标准判分，</w:t>
      </w:r>
      <w:r>
        <w:rPr>
          <w:rFonts w:hint="eastAsia" w:asciiTheme="minorEastAsia" w:hAnsiTheme="minorEastAsia" w:eastAsiaTheme="minorEastAsia" w:cstheme="minorEastAsia"/>
          <w:color w:val="auto"/>
          <w:kern w:val="0"/>
          <w:sz w:val="28"/>
          <w:szCs w:val="28"/>
          <w:highlight w:val="none"/>
          <w:lang w:val="en"/>
        </w:rPr>
        <w:t>对</w:t>
      </w:r>
      <w:r>
        <w:rPr>
          <w:rFonts w:hint="eastAsia" w:asciiTheme="minorEastAsia" w:hAnsiTheme="minorEastAsia" w:cstheme="minorEastAsia"/>
          <w:color w:val="auto"/>
          <w:kern w:val="0"/>
          <w:sz w:val="28"/>
          <w:szCs w:val="28"/>
          <w:highlight w:val="none"/>
          <w:lang w:val="en" w:eastAsia="zh-CN"/>
        </w:rPr>
        <w:t>客观题</w:t>
      </w:r>
      <w:r>
        <w:rPr>
          <w:rFonts w:hint="eastAsia" w:asciiTheme="minorEastAsia" w:hAnsiTheme="minorEastAsia" w:eastAsiaTheme="minorEastAsia" w:cstheme="minorEastAsia"/>
          <w:color w:val="auto"/>
          <w:kern w:val="0"/>
          <w:sz w:val="28"/>
          <w:szCs w:val="28"/>
          <w:highlight w:val="none"/>
          <w:lang w:val="en"/>
        </w:rPr>
        <w:t>具有明确答案的题目必须注明“√”或“×”</w:t>
      </w:r>
      <w:r>
        <w:rPr>
          <w:rFonts w:hint="eastAsia" w:asciiTheme="minorEastAsia" w:hAnsiTheme="minorEastAsia" w:cstheme="minorEastAsia"/>
          <w:color w:val="auto"/>
          <w:kern w:val="0"/>
          <w:sz w:val="28"/>
          <w:szCs w:val="28"/>
          <w:highlight w:val="none"/>
          <w:lang w:val="en" w:eastAsia="zh-CN"/>
        </w:rPr>
        <w:t>；</w:t>
      </w:r>
      <w:r>
        <w:rPr>
          <w:rFonts w:hint="eastAsia" w:asciiTheme="minorEastAsia" w:hAnsiTheme="minorEastAsia" w:eastAsiaTheme="minorEastAsia" w:cstheme="minorEastAsia"/>
          <w:color w:val="auto"/>
          <w:kern w:val="0"/>
          <w:sz w:val="28"/>
          <w:szCs w:val="28"/>
          <w:highlight w:val="none"/>
          <w:lang w:val="en"/>
        </w:rPr>
        <w:t>试卷中</w:t>
      </w:r>
      <w:r>
        <w:rPr>
          <w:rFonts w:hint="eastAsia" w:asciiTheme="minorEastAsia" w:hAnsiTheme="minorEastAsia" w:cstheme="minorEastAsia"/>
          <w:color w:val="auto"/>
          <w:kern w:val="0"/>
          <w:sz w:val="28"/>
          <w:szCs w:val="28"/>
          <w:highlight w:val="none"/>
          <w:lang w:val="en" w:eastAsia="zh-CN"/>
        </w:rPr>
        <w:t>主观题</w:t>
      </w:r>
      <w:r>
        <w:rPr>
          <w:rFonts w:hint="eastAsia" w:asciiTheme="minorEastAsia" w:hAnsiTheme="minorEastAsia" w:eastAsiaTheme="minorEastAsia" w:cstheme="minorEastAsia"/>
          <w:color w:val="auto"/>
          <w:kern w:val="0"/>
          <w:sz w:val="28"/>
          <w:szCs w:val="28"/>
          <w:highlight w:val="none"/>
          <w:lang w:val="en"/>
        </w:rPr>
        <w:t>大题中的小题（或步骤）采用</w:t>
      </w:r>
      <w:r>
        <w:rPr>
          <w:rFonts w:hint="eastAsia" w:asciiTheme="minorEastAsia" w:hAnsiTheme="minorEastAsia" w:eastAsiaTheme="minorEastAsia" w:cstheme="minorEastAsia"/>
          <w:color w:val="auto"/>
          <w:kern w:val="0"/>
          <w:sz w:val="28"/>
          <w:szCs w:val="28"/>
          <w:highlight w:val="none"/>
          <w:lang w:val="en" w:eastAsia="zh-CN"/>
        </w:rPr>
        <w:t>记正</w:t>
      </w:r>
      <w:r>
        <w:rPr>
          <w:rFonts w:hint="eastAsia" w:asciiTheme="minorEastAsia" w:hAnsiTheme="minorEastAsia" w:eastAsiaTheme="minorEastAsia" w:cstheme="minorEastAsia"/>
          <w:color w:val="auto"/>
          <w:kern w:val="0"/>
          <w:sz w:val="28"/>
          <w:szCs w:val="28"/>
          <w:highlight w:val="none"/>
          <w:lang w:val="en"/>
        </w:rPr>
        <w:t>分制</w:t>
      </w:r>
      <w:r>
        <w:rPr>
          <w:rFonts w:hint="eastAsia" w:asciiTheme="minorEastAsia" w:hAnsiTheme="minorEastAsia" w:cstheme="minorEastAsia"/>
          <w:color w:val="auto"/>
          <w:kern w:val="0"/>
          <w:sz w:val="28"/>
          <w:szCs w:val="28"/>
          <w:highlight w:val="none"/>
          <w:lang w:val="en" w:eastAsia="zh-CN"/>
        </w:rPr>
        <w:t>；</w:t>
      </w:r>
      <w:r>
        <w:rPr>
          <w:rFonts w:hint="eastAsia" w:asciiTheme="minorEastAsia" w:hAnsiTheme="minorEastAsia" w:eastAsiaTheme="minorEastAsia" w:cstheme="minorEastAsia"/>
          <w:color w:val="auto"/>
          <w:sz w:val="28"/>
          <w:szCs w:val="28"/>
          <w:highlight w:val="none"/>
        </w:rPr>
        <w:t>小题得分记</w:t>
      </w:r>
      <w:r>
        <w:rPr>
          <w:rFonts w:hint="eastAsia" w:asciiTheme="minorEastAsia" w:hAnsiTheme="minorEastAsia" w:eastAsiaTheme="minorEastAsia" w:cstheme="minorEastAsia"/>
          <w:color w:val="auto"/>
          <w:sz w:val="28"/>
          <w:szCs w:val="28"/>
          <w:highlight w:val="none"/>
          <w:lang w:eastAsia="zh-CN"/>
        </w:rPr>
        <w:t>在题号左边，</w:t>
      </w:r>
      <w:r>
        <w:rPr>
          <w:rFonts w:hint="eastAsia" w:asciiTheme="minorEastAsia" w:hAnsiTheme="minorEastAsia" w:eastAsiaTheme="minorEastAsia" w:cstheme="minorEastAsia"/>
          <w:color w:val="auto"/>
          <w:kern w:val="0"/>
          <w:sz w:val="28"/>
          <w:szCs w:val="28"/>
          <w:highlight w:val="none"/>
          <w:lang w:val="en"/>
        </w:rPr>
        <w:t>各大题得分</w:t>
      </w:r>
      <w:r>
        <w:rPr>
          <w:rFonts w:hint="eastAsia" w:asciiTheme="minorEastAsia" w:hAnsiTheme="minorEastAsia" w:eastAsiaTheme="minorEastAsia" w:cstheme="minorEastAsia"/>
          <w:color w:val="auto"/>
          <w:kern w:val="0"/>
          <w:sz w:val="28"/>
          <w:szCs w:val="28"/>
          <w:highlight w:val="none"/>
          <w:lang w:val="en" w:eastAsia="zh-CN"/>
        </w:rPr>
        <w:t>汇总记在得分框中</w:t>
      </w:r>
      <w:r>
        <w:rPr>
          <w:rFonts w:hint="eastAsia" w:asciiTheme="minorEastAsia" w:hAnsiTheme="minorEastAsia" w:eastAsiaTheme="minorEastAsia" w:cstheme="minorEastAsia"/>
          <w:color w:val="auto"/>
          <w:kern w:val="0"/>
          <w:sz w:val="28"/>
          <w:szCs w:val="28"/>
          <w:highlight w:val="none"/>
          <w:lang w:val="en"/>
        </w:rPr>
        <w:t>。</w:t>
      </w:r>
      <w:r>
        <w:rPr>
          <w:rFonts w:hint="eastAsia" w:asciiTheme="minorEastAsia" w:hAnsiTheme="minorEastAsia" w:eastAsiaTheme="minorEastAsia" w:cstheme="minorEastAsia"/>
          <w:color w:val="auto"/>
          <w:sz w:val="28"/>
          <w:szCs w:val="28"/>
          <w:highlight w:val="none"/>
        </w:rPr>
        <w:t>分题阅卷结束后，将各大题得分情况汇总填入答题册封面指定位置，并准确计算总分。</w:t>
      </w:r>
    </w:p>
    <w:p>
      <w:pPr>
        <w:keepNext w:val="0"/>
        <w:keepLines w:val="0"/>
        <w:pageBreakBefore w:val="0"/>
        <w:widowControl w:val="0"/>
        <w:kinsoku/>
        <w:wordWrap/>
        <w:overflowPunct/>
        <w:topLinePunct w:val="0"/>
        <w:autoSpaceDE/>
        <w:autoSpaceDN/>
        <w:bidi w:val="0"/>
        <w:adjustRightInd w:val="0"/>
        <w:snapToGrid/>
        <w:spacing w:line="480" w:lineRule="auto"/>
        <w:ind w:firstLine="560" w:firstLineChars="200"/>
        <w:jc w:val="left"/>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（四）</w:t>
      </w:r>
      <w:r>
        <w:rPr>
          <w:rFonts w:hint="eastAsia" w:asciiTheme="minorEastAsia" w:hAnsiTheme="minorEastAsia" w:eastAsiaTheme="minorEastAsia" w:cstheme="minorEastAsia"/>
          <w:color w:val="auto"/>
          <w:kern w:val="0"/>
          <w:sz w:val="28"/>
          <w:szCs w:val="28"/>
          <w:highlight w:val="none"/>
          <w:lang w:val="en"/>
        </w:rPr>
        <w:t>阅卷、判分、总分、核分要严格规范，杜绝差错。阅卷下笔要慎重，原则上不得修改，若确需修改，</w:t>
      </w:r>
      <w:r>
        <w:rPr>
          <w:rFonts w:hint="eastAsia" w:asciiTheme="minorEastAsia" w:hAnsiTheme="minorEastAsia" w:eastAsiaTheme="minorEastAsia" w:cstheme="minorEastAsia"/>
          <w:color w:val="auto"/>
          <w:kern w:val="0"/>
          <w:sz w:val="28"/>
          <w:szCs w:val="28"/>
          <w:highlight w:val="none"/>
          <w:lang w:val="en"/>
        </w:rPr>
        <w:t>必须在</w:t>
      </w:r>
      <w:r>
        <w:rPr>
          <w:rFonts w:hint="eastAsia" w:asciiTheme="minorEastAsia" w:hAnsiTheme="minorEastAsia" w:cstheme="minorEastAsia"/>
          <w:color w:val="auto"/>
          <w:kern w:val="0"/>
          <w:sz w:val="28"/>
          <w:szCs w:val="28"/>
          <w:highlight w:val="none"/>
          <w:lang w:val="en" w:eastAsia="zh-CN"/>
        </w:rPr>
        <w:t>三人及以上人员协商后</w:t>
      </w:r>
      <w:r>
        <w:rPr>
          <w:rFonts w:hint="eastAsia" w:asciiTheme="minorEastAsia" w:hAnsiTheme="minorEastAsia" w:eastAsiaTheme="minorEastAsia" w:cstheme="minorEastAsia"/>
          <w:color w:val="auto"/>
          <w:kern w:val="0"/>
          <w:sz w:val="28"/>
          <w:szCs w:val="28"/>
          <w:highlight w:val="none"/>
          <w:lang w:val="en"/>
        </w:rPr>
        <w:t>修改</w:t>
      </w:r>
      <w:r>
        <w:rPr>
          <w:rFonts w:hint="eastAsia" w:asciiTheme="minorEastAsia" w:hAnsiTheme="minorEastAsia" w:cstheme="minorEastAsia"/>
          <w:color w:val="auto"/>
          <w:kern w:val="0"/>
          <w:sz w:val="28"/>
          <w:szCs w:val="28"/>
          <w:highlight w:val="none"/>
          <w:lang w:val="en" w:eastAsia="zh-CN"/>
        </w:rPr>
        <w:t>，并在修改</w:t>
      </w:r>
      <w:r>
        <w:rPr>
          <w:rFonts w:hint="eastAsia" w:asciiTheme="minorEastAsia" w:hAnsiTheme="minorEastAsia" w:eastAsiaTheme="minorEastAsia" w:cstheme="minorEastAsia"/>
          <w:color w:val="auto"/>
          <w:kern w:val="0"/>
          <w:sz w:val="28"/>
          <w:szCs w:val="28"/>
          <w:highlight w:val="none"/>
          <w:lang w:val="en"/>
        </w:rPr>
        <w:t>部分签名且责任自负。</w:t>
      </w:r>
    </w:p>
    <w:p>
      <w:pPr>
        <w:keepNext w:val="0"/>
        <w:keepLines w:val="0"/>
        <w:pageBreakBefore w:val="0"/>
        <w:widowControl w:val="0"/>
        <w:kinsoku/>
        <w:wordWrap/>
        <w:overflowPunct/>
        <w:topLinePunct w:val="0"/>
        <w:autoSpaceDE/>
        <w:autoSpaceDN/>
        <w:bidi w:val="0"/>
        <w:adjustRightInd w:val="0"/>
        <w:snapToGrid/>
        <w:spacing w:line="480" w:lineRule="auto"/>
        <w:ind w:firstLine="560" w:firstLineChars="200"/>
        <w:jc w:val="left"/>
        <w:textAlignment w:val="auto"/>
        <w:outlineLvl w:val="9"/>
        <w:rPr>
          <w:rFonts w:hint="eastAsia" w:asciiTheme="minorEastAsia" w:hAnsiTheme="minorEastAsia" w:eastAsiaTheme="minorEastAsia" w:cstheme="minorEastAsia"/>
          <w:color w:val="auto"/>
          <w:sz w:val="28"/>
          <w:szCs w:val="28"/>
          <w:highlight w:val="none"/>
          <w:lang w:eastAsia="zh-CN"/>
        </w:rPr>
      </w:pPr>
      <w:r>
        <w:rPr>
          <w:rFonts w:hint="eastAsia" w:asciiTheme="minorEastAsia" w:hAnsiTheme="minorEastAsia" w:eastAsiaTheme="minorEastAsia" w:cstheme="minorEastAsia"/>
          <w:color w:val="auto"/>
          <w:sz w:val="28"/>
          <w:szCs w:val="28"/>
          <w:highlight w:val="none"/>
          <w:lang w:eastAsia="zh-CN"/>
        </w:rPr>
        <w:t>（五）</w:t>
      </w:r>
      <w:r>
        <w:rPr>
          <w:rFonts w:hint="eastAsia" w:asciiTheme="minorEastAsia" w:hAnsiTheme="minorEastAsia" w:eastAsiaTheme="minorEastAsia" w:cstheme="minorEastAsia"/>
          <w:color w:val="auto"/>
          <w:sz w:val="28"/>
          <w:szCs w:val="28"/>
          <w:highlight w:val="none"/>
        </w:rPr>
        <w:t>必须指定专人复核</w:t>
      </w:r>
      <w:r>
        <w:rPr>
          <w:rFonts w:hint="eastAsia" w:asciiTheme="minorEastAsia" w:hAnsiTheme="minorEastAsia" w:cstheme="minorEastAsia"/>
          <w:color w:val="auto"/>
          <w:sz w:val="28"/>
          <w:szCs w:val="28"/>
          <w:highlight w:val="none"/>
          <w:lang w:eastAsia="zh-CN"/>
        </w:rPr>
        <w:t>（非阅卷教师）</w:t>
      </w:r>
      <w:r>
        <w:rPr>
          <w:rFonts w:hint="eastAsia" w:asciiTheme="minorEastAsia" w:hAnsiTheme="minorEastAsia" w:eastAsiaTheme="minorEastAsia" w:cstheme="minorEastAsia"/>
          <w:color w:val="auto"/>
          <w:sz w:val="28"/>
          <w:szCs w:val="28"/>
          <w:highlight w:val="none"/>
        </w:rPr>
        <w:t>，复核的内容包括评分标准是否统一、给分是否合理、小题分与大题分是否一致、总分是否正确等</w:t>
      </w:r>
      <w:r>
        <w:rPr>
          <w:rFonts w:hint="eastAsia" w:asciiTheme="minorEastAsia" w:hAnsiTheme="minorEastAsia" w:eastAsiaTheme="minorEastAsia" w:cstheme="minorEastAsia"/>
          <w:color w:val="auto"/>
          <w:sz w:val="28"/>
          <w:szCs w:val="28"/>
          <w:highlight w:val="none"/>
          <w:lang w:eastAsia="zh-CN"/>
        </w:rPr>
        <w:t>，并完整填写阅卷复核表。</w:t>
      </w:r>
    </w:p>
    <w:p>
      <w:pPr>
        <w:keepNext w:val="0"/>
        <w:keepLines w:val="0"/>
        <w:pageBreakBefore w:val="0"/>
        <w:widowControl w:val="0"/>
        <w:kinsoku/>
        <w:wordWrap/>
        <w:overflowPunct/>
        <w:topLinePunct w:val="0"/>
        <w:autoSpaceDE/>
        <w:autoSpaceDN/>
        <w:bidi w:val="0"/>
        <w:adjustRightInd w:val="0"/>
        <w:snapToGrid/>
        <w:spacing w:line="480" w:lineRule="auto"/>
        <w:ind w:firstLine="560" w:firstLineChars="200"/>
        <w:jc w:val="left"/>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eastAsia="zh-CN"/>
        </w:rPr>
        <w:t>（六）</w:t>
      </w:r>
      <w:r>
        <w:rPr>
          <w:rFonts w:hint="eastAsia" w:asciiTheme="minorEastAsia" w:hAnsiTheme="minorEastAsia" w:eastAsiaTheme="minorEastAsia" w:cstheme="minorEastAsia"/>
          <w:color w:val="auto"/>
          <w:sz w:val="28"/>
          <w:szCs w:val="28"/>
          <w:highlight w:val="none"/>
        </w:rPr>
        <w:t>发现有雷同答卷，评卷人要立即向院系分管领导报告，由分管领导组织3名以上学科教师鉴定，确认后按有关规定处理。</w:t>
      </w:r>
    </w:p>
    <w:p>
      <w:pPr>
        <w:keepNext w:val="0"/>
        <w:keepLines w:val="0"/>
        <w:pageBreakBefore w:val="0"/>
        <w:widowControl w:val="0"/>
        <w:kinsoku/>
        <w:wordWrap/>
        <w:overflowPunct/>
        <w:topLinePunct w:val="0"/>
        <w:autoSpaceDE/>
        <w:autoSpaceDN/>
        <w:bidi w:val="0"/>
        <w:adjustRightInd/>
        <w:snapToGrid/>
        <w:spacing w:line="480" w:lineRule="auto"/>
        <w:ind w:firstLine="560" w:firstLineChars="200"/>
        <w:textAlignment w:val="auto"/>
        <w:outlineLvl w:val="9"/>
        <w:rPr>
          <w:color w:val="auto"/>
        </w:rPr>
      </w:pPr>
      <w:r>
        <w:rPr>
          <w:rFonts w:hint="eastAsia" w:asciiTheme="minorEastAsia" w:hAnsiTheme="minorEastAsia" w:eastAsiaTheme="minorEastAsia" w:cstheme="minorEastAsia"/>
          <w:color w:val="auto"/>
          <w:sz w:val="28"/>
          <w:szCs w:val="28"/>
          <w:highlight w:val="none"/>
          <w:lang w:eastAsia="zh-CN"/>
        </w:rPr>
        <w:t>（七）</w:t>
      </w:r>
      <w:r>
        <w:rPr>
          <w:rFonts w:hint="eastAsia" w:asciiTheme="minorEastAsia" w:hAnsiTheme="minorEastAsia" w:eastAsiaTheme="minorEastAsia" w:cstheme="minorEastAsia"/>
          <w:color w:val="auto"/>
          <w:sz w:val="28"/>
          <w:szCs w:val="28"/>
          <w:highlight w:val="none"/>
        </w:rPr>
        <w:t>评卷结束后，阅卷人和复核人要在试卷规定的地方签名。</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323A7"/>
    <w:rsid w:val="13622648"/>
    <w:rsid w:val="18F86417"/>
    <w:rsid w:val="606065F3"/>
    <w:rsid w:val="618634FD"/>
    <w:rsid w:val="69272C68"/>
    <w:rsid w:val="6E7323A7"/>
    <w:rsid w:val="7D616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28</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2018-12-28T05:54:00Z</dcterms:created>
  <dc:creator>37120409</dc:creator>
  <cp:lastModifiedBy>37120409</cp:lastModifiedBy>
  <dcterms:modified xsi:type="dcterms:W3CDTF">2018-12-29T07:57:49Z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